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pPr>
        <w:contextualSpacing/>
        <w:jc w:val="both"/>
        <w:spacing w:line="230" w:lineRule="auto"/>
      </w:pPr>
      <w:r>
        <w:t xml:space="preserve">О</w:t>
      </w:r>
      <w:r>
        <w:t xml:space="preserve"> 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</w:t>
      </w:r>
      <w:r>
        <w:t xml:space="preserve">о</w:t>
      </w:r>
      <w:r>
        <w:t xml:space="preserve">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</w:t>
      </w:r>
      <w:r>
        <w:t xml:space="preserve">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на территории</w:t>
      </w:r>
      <w:r>
        <w:t xml:space="preserve"> </w:t>
      </w:r>
      <w:r>
        <w:t xml:space="preserve">Еврейской автономной области</w:t>
      </w:r>
      <w:r/>
    </w:p>
    <w:p>
      <w:pPr>
        <w:contextualSpacing/>
        <w:jc w:val="both"/>
      </w:pPr>
      <w:r/>
      <w:r/>
    </w:p>
    <w:p>
      <w:pPr>
        <w:contextualSpacing/>
        <w:jc w:val="both"/>
      </w:pPr>
      <w:r/>
      <w:r/>
    </w:p>
    <w:p>
      <w:pPr>
        <w:contextualSpacing/>
        <w:ind w:left="0" w:right="0" w:firstLine="850"/>
        <w:jc w:val="both"/>
      </w:pPr>
      <w:r>
        <w:t xml:space="preserve">В соответствии с постановлением Правительства Российской </w:t>
      </w:r>
      <w:r>
        <w:t xml:space="preserve">Федерации от 7 марта 2023 г. № 356 «Об утверждении Правил назначения и выплаты компенсации, предусмотренной </w:t>
      </w:r>
      <w:r>
        <w:rPr>
          <w:highlight w:val="none"/>
        </w:rPr>
        <w:t xml:space="preserve">пункт</w:t>
      </w:r>
      <w:r>
        <w:rPr>
          <w:highlight w:val="none"/>
        </w:rPr>
        <w:t xml:space="preserve">ом 1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 статьи 17</w:t>
      </w:r>
      <w:r>
        <w:rPr>
          <w:highlight w:val="none"/>
          <w:vertAlign w:val="superscript"/>
        </w:rPr>
        <w:t xml:space="preserve">1</w:t>
      </w:r>
      <w:r>
        <w:rPr>
          <w:highlight w:val="none"/>
        </w:rPr>
        <w:t xml:space="preserve"> </w:t>
      </w:r>
      <w:r>
        <w:t xml:space="preserve">Федерального закона «О благотворительной деятельности и добровольчестве (волонтерстве)» </w:t>
      </w:r>
      <w:r>
        <w:rPr>
          <w:highlight w:val="none"/>
        </w:rPr>
      </w:r>
      <w:r/>
    </w:p>
    <w:p>
      <w:pPr>
        <w:pStyle w:val="955"/>
        <w:contextualSpacing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850"/>
        <w:jc w:val="both"/>
      </w:pPr>
      <w:r>
        <w:t xml:space="preserve">1. Создать комиссию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</w:t>
      </w:r>
      <w:r>
        <w:t xml:space="preserve">е</w:t>
      </w:r>
      <w:r>
        <w:t xml:space="preserve">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</w:t>
      </w:r>
      <w:r>
        <w:t xml:space="preserve">чения одного года со дня получения вреда жизни или здоровью добровольца (волонтера), полученного добровольцем (волонтером) при осуществлении </w:t>
      </w:r>
      <w:r>
        <w:t xml:space="preserve">им добровольческой (волонтерской) деятельности на территории </w:t>
      </w:r>
      <w:r>
        <w:t xml:space="preserve">Еврейской автономной области.</w:t>
      </w:r>
      <w:r/>
    </w:p>
    <w:p>
      <w:pPr>
        <w:ind w:left="0" w:right="0" w:firstLine="850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85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t xml:space="preserve">2. </w:t>
      </w:r>
      <w:r>
        <w:t xml:space="preserve">Утвердить прилагаемые:</w:t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t xml:space="preserve">- Положение о 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</w:t>
      </w:r>
      <w:r>
        <w:t xml:space="preserve">в</w:t>
      </w:r>
      <w:r>
        <w:t xml:space="preserve">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</w:t>
      </w:r>
      <w:r>
        <w:t xml:space="preserve">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</w:t>
      </w:r>
      <w:r>
        <w:t xml:space="preserve">(волонтерской) деятельности на территории Еврейской автономной области;</w:t>
      </w:r>
      <w:r>
        <w:rPr>
          <w:highlight w:val="none"/>
        </w:rPr>
      </w:r>
    </w:p>
    <w:p>
      <w:pPr>
        <w:ind w:left="0" w:right="0" w:firstLine="850"/>
        <w:jc w:val="both"/>
        <w:rPr>
          <w:highlight w:val="none"/>
        </w:rPr>
      </w:pPr>
      <w:r>
        <w:rPr>
          <w:highlight w:val="none"/>
        </w:rPr>
        <w:t xml:space="preserve">- состав </w:t>
      </w:r>
      <w:r>
        <w:t xml:space="preserve">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</w:t>
      </w:r>
      <w:r>
        <w:t xml:space="preserve">в</w:t>
      </w:r>
      <w:r>
        <w:t xml:space="preserve">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</w:t>
      </w:r>
      <w:r>
        <w:t xml:space="preserve">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</w:t>
      </w:r>
      <w:r>
        <w:t xml:space="preserve">(волонтерской) деятельности на территории Еврейской автономной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850"/>
        <w:jc w:val="both"/>
        <w:rPr>
          <w:rFonts w:eastAsia="Calibri"/>
          <w:highlight w:val="yellow"/>
        </w:rPr>
      </w:pPr>
      <w:r>
        <w:rPr>
          <w:rFonts w:eastAsia="Calibri"/>
          <w:lang w:eastAsia="ru-RU"/>
        </w:rPr>
        <w:t xml:space="preserve">3. </w:t>
      </w:r>
      <w:r>
        <w:rPr>
          <w:rFonts w:eastAsia="Calibri"/>
          <w:lang w:eastAsia="ru-RU"/>
        </w:rPr>
        <w:t xml:space="preserve">Настоящее постановление вступает в силу со дня его официального опубликования.</w:t>
      </w:r>
      <w:r>
        <w:rPr>
          <w:rFonts w:eastAsia="Calibri"/>
          <w:highlight w:val="yellow"/>
        </w:rPr>
      </w:r>
      <w:r>
        <w:rPr>
          <w:rFonts w:eastAsia="Calibri"/>
          <w:highlight w:val="yellow"/>
        </w:rPr>
      </w:r>
    </w:p>
    <w:p>
      <w:pPr>
        <w:jc w:val="both"/>
        <w:rPr>
          <w:rFonts w:eastAsia="Calibri"/>
          <w:lang w:eastAsia="ru-RU"/>
        </w:rPr>
        <w:outlineLvl w:val="0"/>
      </w:pP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</w:p>
    <w:p>
      <w:pPr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</w:p>
    <w:p>
      <w:pPr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</w:p>
    <w:p>
      <w:r>
        <w:t xml:space="preserve">Губернатор области                                                                      Р.Э. Гольдштейн</w:t>
      </w:r>
      <w:r/>
    </w:p>
    <w:p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</w:p>
    <w:p>
      <w:pPr>
        <w:jc w:val="both"/>
        <w:rPr>
          <w:rFonts w:eastAsia="Calibri"/>
          <w:lang w:eastAsia="ru-RU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5" w:h="16838" w:orient="portrait"/>
          <w:pgMar w:top="1134" w:right="851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  <w:r>
        <w:rPr>
          <w:rFonts w:eastAsia="Calibri"/>
          <w:lang w:eastAsia="ru-RU"/>
        </w:rPr>
      </w:r>
    </w:p>
    <w:p>
      <w:pPr>
        <w:pStyle w:val="955"/>
        <w:ind w:left="5386" w:right="0" w:firstLine="0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со дня получения вреда жизни или здоровью добровольца (волонтера), полученного добровольцем (волонтером)при осуществлении им добровольческой (волонтерской) деятельности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contextualSpacing/>
        <w:ind w:left="1429"/>
        <w:spacing w:line="230" w:lineRule="auto"/>
      </w:pPr>
      <w:r/>
      <w:r/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.1. Настоящее Положение определяет компетенции и порядок работы комиссии по установлению причинно-следственной связи между получением вреда жизни или здоровью добровольна (волонтера) и осуществлением им вида добровольческой (волонтерской) деятельности, а т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кже причинно-следственной связи между смертью (гибелью) добровольца (волонтера) и вредом жизни или здоровью добровольна (волонтера), полученным добровольцем (волонтером) при осуществлении им добровольческой (волонтерской) деятельности, в случае если смерть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на территории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Еврейской автономной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области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                                                             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(далее соответственно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–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Комиссия, причинно-следственная связь).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1.2.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Еврейской автономной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области, законами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Еврейской автономной области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, иными прав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овыми актами, а также настоящим Положением.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1.3. Комиссия осуществляет свою деятельность во взаимодействии с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федеральными органами исполнительной власти, федеральными государственными органами, органами государственной власти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Еврейской автономной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области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, органами местного самоуправления муниципальных образований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Еврейской автономной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области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, иными организациями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                      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(далее – органы и организац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ии).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center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2. Задачи, функции и права Комиссии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2.1. Задачей Комиссии является установление причинно-следственной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связи.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2.2. Комиссия осуществляет следующие функции: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подготовка заключений Комиссии по форме, установленной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приложением 2 к Правилам назначения и выплаты компенсации, предусмотренной пунктом 1</w:t>
      </w:r>
      <w:r>
        <w:rPr>
          <w:rFonts w:ascii="Times New Roman" w:hAnsi="Times New Roman" w:eastAsia="Arial"/>
          <w:b w:val="0"/>
          <w:bCs w:val="0"/>
          <w:sz w:val="28"/>
          <w:szCs w:val="28"/>
          <w:highlight w:val="none"/>
          <w:vertAlign w:val="superscript"/>
          <w:lang w:val="ru-RU"/>
        </w:rPr>
        <w:t xml:space="preserve">1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статьи 17</w:t>
      </w:r>
      <w:r>
        <w:rPr>
          <w:rFonts w:ascii="Times New Roman" w:hAnsi="Times New Roman" w:eastAsia="Arial"/>
          <w:sz w:val="28"/>
          <w:szCs w:val="28"/>
          <w:highlight w:val="none"/>
          <w:vertAlign w:val="superscript"/>
          <w:lang w:val="ru-RU"/>
        </w:rPr>
        <w:t xml:space="preserve">1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Федерального закона «О благотворительной деятельности и добровольчестве (волонтерстве)», утвержденным постановлением Правительства Российской Федерации от 7 мар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та 2023 г.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№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 356 «Об утверждении Правил назначения и выплаты компенсации, предусмотренной пунктом 1' статьи 17 Федерального закона «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О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благотворительной деятельности и добровольчестве (волонтерстве)».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2.3. Комиссия для решения возложенных на нее задач имеет право: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ru-RU"/>
        </w:rPr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1)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запрашивать и получать в установленном порядке необходимые материалы и информацию от органов и организаций путем направления запросов по вопросам деятельности Комиссии. Срок рассмотрения таких запросов органами и организациями не должен превышать пять ка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лендарных дней с даты регистрации запросов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2)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пользоваться государственными информационными системами в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случаях и порядке, которые предусмотрены законодательством Российской Федерации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3) приглашать для участия в работе Комиссии должностных лиц и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специалистов (экспертов) органов и организаций, не входящих в состав Комиссии, по вопросам деятельности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center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 Состав Комиссии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3.1. Комиссия состоит из председателя Комиссии,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заместителя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председателя Комиссии, секретаря Комиссии и членов Комиссии. В состав Комиссии должно входить не менее 7 человек. Запросы Комиссии о предоставлении необходимых материалов и информации подписываются председателем Комиссии или его заместителем.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3.2. Председатель Комиссии: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осуществляет общее руководство деятельностью Комиссии;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организует работу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принимает решение о созыве заседания Комиссии;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председательствует на заседаниях Комиссии;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подписывает запросы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 в органы и организации о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предоставлении необходимых материалов и информации;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утверждает повестку заседания Комиссии;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определяет дату и время проведения заседания Комиссии;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дает поручения заместителю председателя Комиссии, секретарю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Комиссии, членам Комиссии и контролирует их исполнение;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подписывает протокол заседания Комиссии и заключение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В период временного отсутствия председателя Комиссии его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полномочия исполняет заместитель председателя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3.3. Секретарь Комиссии: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формирует проект повестки заседания Комиссии, обеспечивает подготовку необходимых материалов к заседанию Комиссии, формирует проект решения Комиссии, протокол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информирует членов Комиссии и иных приглашенных на заседание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 лиц о дате, времени, месте проведения и повестке заседания Комиссии, обеспечивает их необходимыми материалами;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оформляет, подписывает и обеспечивает подписание протокола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Комиссии, оформляет и обеспечивает подписание заключения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организует выполнение поручений председателя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осуществляет контроль за исполнением решений, принятых на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заседании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обеспечивает направление подписанного протокола Комиссии и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заключения комиссии в Федеральное агентство по делам молодежи.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Секретарь Комиссии является членом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3.4. Члены комиссии: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участвуют в подготовке и проведении заседаний Комиссии лично;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участвуют в обсуждении вопросов, вынесенных на заседание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рассматривают материалы, представленные на заседание Комиссии;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принимают решения по результатам рассмотрения материалов, представленных на заседание Комиссии. Члены Комиссии осуществляют свою деятельность на безвозмездной основе, обладают равными правами пр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и обсуждении рассматриваемых на заседании вопросов и не вправе разглашать сведения, ставшие им известными в ходе работы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.5. Заседания Комиссии проводятся в течение десяти календарных дней с даты поступления ходатайства от Федерального агентства по делам молодежи. Заседание Комиссии считается правомочным, если на нем присутствуют не менее половины ее членов с учетом представ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ленного письменного мнения отсутствующих членов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3.6. Решения Комиссии принимаются простым большинством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голосов. При равенстве голосов решающим является голос председательствующего на заседании Комиссии.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3.7. Решения Комиссии оформляются: протоколом Комиссии, содержащим принятые решения, который подписывается председательствующим на заседаний Комиссии, всеми членами Комиссии, присутствующими на заседаний,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заключением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Комиссии,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которое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подписывается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председательствующим на заседании Комиссии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3.8. Подписанное заключение направляется в адрес Федерального агентства по делам молодежи не позднее третьего рабочего дня с даты проведения заседания Комиссии, на котором рассматривались соответствующие ходатайство и документы.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ind w:left="0" w:right="0" w:firstLine="709"/>
        <w:jc w:val="both"/>
        <w:spacing w:after="0" w:line="235" w:lineRule="auto"/>
        <w:rPr>
          <w:rFonts w:ascii="Times New Roman" w:hAnsi="Times New Roman" w:eastAsia="Arial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headerReference w:type="default" r:id="rId11"/>
          <w:footnotePr/>
          <w:endnotePr/>
          <w:type w:val="nextPage"/>
          <w:pgSz w:w="11905" w:h="16838" w:orient="portrait"/>
          <w:pgMar w:top="1106" w:right="851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3.9. Организационное и материально-техническое обеспечение деятельности Комиссии осуществляется </w:t>
      </w:r>
      <w:r>
        <w:rPr>
          <w:rFonts w:ascii="Times New Roman" w:hAnsi="Times New Roman" w:eastAsia="Arial"/>
          <w:sz w:val="28"/>
          <w:szCs w:val="28"/>
          <w:highlight w:val="none"/>
          <w:lang w:val="ru-RU"/>
        </w:rPr>
        <w:t xml:space="preserve">Департаментом по молодежной политике правительства Еврейской автономной области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  <w:t xml:space="preserve">.</w:t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  <w:r>
        <w:rPr>
          <w:rFonts w:ascii="Times New Roman" w:hAnsi="Times New Roman" w:eastAsia="Arial"/>
          <w:sz w:val="28"/>
          <w:szCs w:val="28"/>
          <w:highlight w:val="none"/>
          <w:lang w:val="en-US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 №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5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9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 на территории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98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11"/>
        <w:tblW w:w="0" w:type="auto"/>
        <w:tblLook w:val="04A0" w:firstRow="1" w:lastRow="0" w:firstColumn="1" w:lastColumn="0" w:noHBand="0" w:noVBand="1"/>
      </w:tblPr>
      <w:tblGrid>
        <w:gridCol w:w="4784"/>
        <w:gridCol w:w="4784"/>
      </w:tblGrid>
      <w:tr>
        <w:tblPrEx/>
        <w:trPr/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Братыненко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98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Дмитрий Федорович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98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98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вице-губернатор Еврейской автономной области - первый заместитель председателя правительства Еврейской автономной области, председатель комиссии;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Колобов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Дмитрий Сергеевич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заместитель руководителя аппарата губернатора и правительства Еврейской автономной области - начальник управления по внутренней политике Еврейской автономной области, заместитель председателя комиссии;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Леонов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Александр Валерьевич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начальник департамента по молодежной политике правительства Еврейской автономной области, заместитель председателя комиссии;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Фомченко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Анна Юрьевна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консультант отдела развития молодежных программ и проектов департамента по молодежной политике правительства Еврейской автономной области, секретарь комиссии.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Алаторцева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Ольга Петровна</w:t>
            </w:r>
            <w:r>
              <w:rPr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уководитель - главный эксперт по медико-социальной экспертизе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едерального государственного учреждения «Главное бюро медико-социальной экспертизы по Еврейской автономной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Жуков</w:t>
            </w:r>
            <w:r/>
            <w:r/>
          </w:p>
          <w:p>
            <w:pPr>
              <w:pStyle w:val="798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Валерий Александрович</w:t>
            </w:r>
            <w:r/>
            <w:r/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заместитель председателя правительства Еврейской автономной области - начальник департамента здравоохранения правительства Еврейской автономной области;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Иванова</w:t>
            </w:r>
            <w:r/>
            <w:r/>
          </w:p>
          <w:p>
            <w:pPr>
              <w:pStyle w:val="798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Анастасия Анатольевна</w:t>
            </w:r>
            <w:r/>
            <w:r/>
          </w:p>
          <w:p>
            <w:pPr>
              <w:pStyle w:val="798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  <w:r/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исполняющий обязанности директора областного государственного бюджетного учреждения «Центр «МОСТ»;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Канделя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Наталья Юрьевна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начальник департамента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Колнауз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Татьяна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областного государственного бюджетного учреждения здравоохранения «Бюро судебно-медицинской экспертизы»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pStyle w:val="798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ихайлов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Евгений Владимирович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начальник 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тдела организации пожаротушения и проведения аварийно-спасательных работ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Еврейской автономной области;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784" w:type="dxa"/>
            <w:vMerge w:val="restart"/>
            <w:textDirection w:val="lrTb"/>
            <w:noWrap w:val="false"/>
          </w:tcPr>
          <w:p>
            <w:pPr>
              <w:shd w:val="nil"/>
              <w:rPr>
                <w:highlight w:val="none"/>
                <w14:ligatures w14:val="none"/>
              </w:rPr>
            </w:pPr>
            <w:r>
              <w:rPr>
                <w:highlight w:val="none"/>
              </w:rPr>
              <w:t xml:space="preserve">Шишмарева </w:t>
            </w:r>
            <w:r>
              <w:rPr>
                <w:highlight w:val="red"/>
              </w:rPr>
            </w:r>
          </w:p>
          <w:p>
            <w:pPr>
              <w:shd w:val="nil"/>
              <w:rPr>
                <w:highlight w:val="red"/>
                <w14:ligatures w14:val="none"/>
              </w:rPr>
            </w:pPr>
            <w:r>
              <w:rPr>
                <w:highlight w:val="none"/>
              </w:rPr>
              <w:t xml:space="preserve">Ирина Владимировна</w:t>
            </w:r>
            <w:r>
              <w:rPr>
                <w:highlight w:val="red"/>
              </w:rPr>
            </w:r>
            <w:r/>
          </w:p>
          <w:p>
            <w:pPr>
              <w:pStyle w:val="79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r>
          </w:p>
        </w:tc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798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консультант отдела контроля страхования профессиональных рисков Управление организации страхования профессиональных рисков.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red"/>
              </w:rPr>
            </w:r>
          </w:p>
        </w:tc>
      </w:tr>
    </w:tbl>
    <w:p>
      <w:r/>
    </w:p>
    <w:sectPr>
      <w:footnotePr/>
      <w:endnotePr/>
      <w:type w:val="nextPage"/>
      <w:pgSz w:w="11905" w:h="16838" w:orient="portrait"/>
      <w:pgMar w:top="1106" w:right="851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tabs>
        <w:tab w:val="left" w:pos="5196" w:leader="none"/>
        <w:tab w:val="left" w:pos="5779" w:leader="none"/>
        <w:tab w:val="clear" w:pos="9355" w:leader="none"/>
      </w:tabs>
      <w:rPr>
        <w:sz w:val="24"/>
        <w:szCs w:val="32"/>
      </w:rPr>
    </w:pPr>
    <w:r>
      <w:rPr>
        <w:sz w:val="24"/>
        <w:szCs w:val="32"/>
      </w:rPr>
      <w:fldChar w:fldCharType="begin"/>
    </w:r>
    <w:r>
      <w:rPr>
        <w:sz w:val="24"/>
        <w:szCs w:val="32"/>
      </w:rPr>
      <w:instrText xml:space="preserve"> PAGE   \* MERGEFORMAT </w:instrText>
    </w:r>
    <w:r>
      <w:rPr>
        <w:sz w:val="24"/>
        <w:szCs w:val="32"/>
      </w:rPr>
      <w:fldChar w:fldCharType="separate"/>
    </w:r>
    <w:r>
      <w:rPr>
        <w:sz w:val="24"/>
        <w:szCs w:val="32"/>
      </w:rPr>
      <w:t xml:space="preserve">23</w:t>
    </w:r>
    <w:r>
      <w:rPr>
        <w:sz w:val="24"/>
        <w:szCs w:val="32"/>
      </w:rPr>
      <w:fldChar w:fldCharType="end"/>
    </w:r>
    <w:r>
      <w:rPr>
        <w:sz w:val="24"/>
        <w:szCs w:val="32"/>
      </w:rPr>
    </w:r>
    <w:r>
      <w:rPr>
        <w:sz w:val="24"/>
        <w:szCs w:val="3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  <w:tabs>
        <w:tab w:val="left" w:pos="5196" w:leader="none"/>
        <w:tab w:val="left" w:pos="5779" w:leader="none"/>
        <w:tab w:val="clear" w:pos="9355" w:leader="none"/>
      </w:tabs>
      <w:rPr>
        <w:sz w:val="24"/>
        <w:szCs w:val="32"/>
      </w:rPr>
    </w:pPr>
    <w:r>
      <w:rPr>
        <w:sz w:val="24"/>
        <w:szCs w:val="32"/>
      </w:rPr>
    </w:r>
    <w:r>
      <w:rPr>
        <w:sz w:val="24"/>
        <w:szCs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 w:default="1">
    <w:name w:val="Normal"/>
    <w:qFormat/>
    <w:rPr>
      <w:rFonts w:ascii="Times New Roman" w:hAnsi="Times New Roman" w:eastAsia="Times New Roman"/>
      <w:sz w:val="28"/>
      <w:szCs w:val="28"/>
      <w:lang w:eastAsia="en-US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 w:customStyle="1">
    <w:name w:val="Heading 1"/>
    <w:basedOn w:val="732"/>
    <w:next w:val="732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7" w:customStyle="1">
    <w:name w:val="Heading 2"/>
    <w:basedOn w:val="732"/>
    <w:next w:val="732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8" w:customStyle="1">
    <w:name w:val="Heading 3"/>
    <w:basedOn w:val="732"/>
    <w:next w:val="732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9" w:customStyle="1">
    <w:name w:val="Heading 4"/>
    <w:basedOn w:val="732"/>
    <w:next w:val="732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0" w:customStyle="1">
    <w:name w:val="Heading 5"/>
    <w:basedOn w:val="732"/>
    <w:next w:val="732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1" w:customStyle="1">
    <w:name w:val="Heading 6"/>
    <w:basedOn w:val="732"/>
    <w:next w:val="732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32"/>
    <w:next w:val="732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32"/>
    <w:next w:val="732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4" w:customStyle="1">
    <w:name w:val="Heading 9"/>
    <w:basedOn w:val="732"/>
    <w:next w:val="732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45" w:customStyle="1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6" w:customStyle="1">
    <w:name w:val="Plain Table 1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3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3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73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5 Dark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7 Colorful"/>
    <w:basedOn w:val="73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73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5 Dark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7 Colorful"/>
    <w:basedOn w:val="73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5" w:customStyle="1">
    <w:name w:val="Heading 1 Char"/>
    <w:basedOn w:val="733"/>
    <w:link w:val="736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basedOn w:val="733"/>
    <w:link w:val="737"/>
    <w:uiPriority w:val="9"/>
    <w:rPr>
      <w:rFonts w:ascii="Arial" w:hAnsi="Arial" w:eastAsia="Arial" w:cs="Arial"/>
      <w:sz w:val="34"/>
    </w:rPr>
  </w:style>
  <w:style w:type="character" w:styleId="767" w:customStyle="1">
    <w:name w:val="Heading 4 Char"/>
    <w:basedOn w:val="733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33"/>
    <w:link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33"/>
    <w:link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33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33"/>
    <w:link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33"/>
    <w:link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33"/>
    <w:uiPriority w:val="10"/>
    <w:rPr>
      <w:sz w:val="48"/>
      <w:szCs w:val="48"/>
    </w:rPr>
  </w:style>
  <w:style w:type="character" w:styleId="774" w:customStyle="1">
    <w:name w:val="Subtitle Char"/>
    <w:basedOn w:val="733"/>
    <w:uiPriority w:val="11"/>
    <w:rPr>
      <w:sz w:val="24"/>
      <w:szCs w:val="24"/>
    </w:rPr>
  </w:style>
  <w:style w:type="character" w:styleId="775" w:customStyle="1">
    <w:name w:val="Quote Char"/>
    <w:uiPriority w:val="29"/>
    <w:rPr>
      <w:i/>
    </w:rPr>
  </w:style>
  <w:style w:type="character" w:styleId="776" w:customStyle="1">
    <w:name w:val="Intense Quote Char"/>
    <w:uiPriority w:val="30"/>
    <w:rPr>
      <w:i/>
    </w:rPr>
  </w:style>
  <w:style w:type="character" w:styleId="777" w:customStyle="1">
    <w:name w:val="Footnote Text Char"/>
    <w:uiPriority w:val="99"/>
    <w:rPr>
      <w:sz w:val="18"/>
    </w:rPr>
  </w:style>
  <w:style w:type="character" w:styleId="778" w:customStyle="1">
    <w:name w:val="Endnote Text Char"/>
    <w:uiPriority w:val="99"/>
    <w:rPr>
      <w:sz w:val="20"/>
    </w:rPr>
  </w:style>
  <w:style w:type="paragraph" w:styleId="779" w:customStyle="1">
    <w:name w:val="Заголовок 11"/>
    <w:basedOn w:val="732"/>
    <w:next w:val="732"/>
    <w:link w:val="7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0" w:customStyle="1">
    <w:name w:val="Заголовок 21"/>
    <w:basedOn w:val="732"/>
    <w:next w:val="732"/>
    <w:link w:val="7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1" w:customStyle="1">
    <w:name w:val="Заголовок 31"/>
    <w:basedOn w:val="732"/>
    <w:link w:val="964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82" w:customStyle="1">
    <w:name w:val="Заголовок 41"/>
    <w:basedOn w:val="732"/>
    <w:next w:val="732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3" w:customStyle="1">
    <w:name w:val="Заголовок 51"/>
    <w:basedOn w:val="732"/>
    <w:next w:val="732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4" w:customStyle="1">
    <w:name w:val="Заголовок 61"/>
    <w:basedOn w:val="732"/>
    <w:next w:val="732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5" w:customStyle="1">
    <w:name w:val="Заголовок 71"/>
    <w:basedOn w:val="732"/>
    <w:next w:val="732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6" w:customStyle="1">
    <w:name w:val="Заголовок 81"/>
    <w:basedOn w:val="732"/>
    <w:next w:val="732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7" w:customStyle="1">
    <w:name w:val="Заголовок 91"/>
    <w:basedOn w:val="732"/>
    <w:next w:val="732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 w:customStyle="1">
    <w:name w:val="Заголовок 1 Знак"/>
    <w:basedOn w:val="733"/>
    <w:link w:val="779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basedOn w:val="733"/>
    <w:link w:val="780"/>
    <w:uiPriority w:val="9"/>
    <w:rPr>
      <w:rFonts w:ascii="Arial" w:hAnsi="Arial" w:eastAsia="Arial" w:cs="Arial"/>
      <w:sz w:val="34"/>
    </w:rPr>
  </w:style>
  <w:style w:type="character" w:styleId="790" w:customStyle="1">
    <w:name w:val="Heading 3 Char"/>
    <w:basedOn w:val="733"/>
    <w:link w:val="738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basedOn w:val="733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basedOn w:val="733"/>
    <w:link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basedOn w:val="733"/>
    <w:link w:val="784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33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33"/>
    <w:link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33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32"/>
    <w:uiPriority w:val="34"/>
    <w:qFormat/>
    <w:pPr>
      <w:contextualSpacing/>
      <w:ind w:left="720"/>
    </w:pPr>
  </w:style>
  <w:style w:type="paragraph" w:styleId="798">
    <w:name w:val="No Spacing"/>
    <w:uiPriority w:val="1"/>
    <w:qFormat/>
  </w:style>
  <w:style w:type="paragraph" w:styleId="799">
    <w:name w:val="Title"/>
    <w:basedOn w:val="732"/>
    <w:next w:val="732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basedOn w:val="733"/>
    <w:link w:val="799"/>
    <w:uiPriority w:val="10"/>
    <w:rPr>
      <w:sz w:val="48"/>
      <w:szCs w:val="48"/>
    </w:rPr>
  </w:style>
  <w:style w:type="paragraph" w:styleId="801">
    <w:name w:val="Subtitle"/>
    <w:basedOn w:val="732"/>
    <w:next w:val="732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basedOn w:val="733"/>
    <w:link w:val="801"/>
    <w:uiPriority w:val="11"/>
    <w:rPr>
      <w:sz w:val="24"/>
      <w:szCs w:val="24"/>
    </w:rPr>
  </w:style>
  <w:style w:type="paragraph" w:styleId="803">
    <w:name w:val="Quote"/>
    <w:basedOn w:val="732"/>
    <w:next w:val="732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32"/>
    <w:next w:val="732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33"/>
    <w:uiPriority w:val="99"/>
  </w:style>
  <w:style w:type="character" w:styleId="808" w:customStyle="1">
    <w:name w:val="Footer Char"/>
    <w:basedOn w:val="733"/>
    <w:uiPriority w:val="99"/>
  </w:style>
  <w:style w:type="paragraph" w:styleId="809" w:customStyle="1">
    <w:name w:val="Название объекта1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3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Таблица простая 11"/>
    <w:basedOn w:val="73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 w:customStyle="1">
    <w:name w:val="Таблица простая 21"/>
    <w:basedOn w:val="73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 w:customStyle="1">
    <w:name w:val="Таблица простая 3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 w:customStyle="1">
    <w:name w:val="Таблица простая 4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Таблица простая 5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1 светлая1"/>
    <w:basedOn w:val="73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basedOn w:val="73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basedOn w:val="73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basedOn w:val="73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basedOn w:val="73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basedOn w:val="73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basedOn w:val="73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Таблица-сетка 21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basedOn w:val="73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basedOn w:val="73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basedOn w:val="73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Таблица-сетка 31"/>
    <w:basedOn w:val="73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basedOn w:val="73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basedOn w:val="73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basedOn w:val="73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Таблица-сетка 41"/>
    <w:basedOn w:val="73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basedOn w:val="73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basedOn w:val="73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basedOn w:val="73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basedOn w:val="73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basedOn w:val="73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basedOn w:val="73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 w:customStyle="1">
    <w:name w:val="Таблица-сетка 5 темная1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 w:customStyle="1">
    <w:name w:val="Таблица-сетка 6 цветная1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Таблица-сетка 7 цветная1"/>
    <w:basedOn w:val="73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Grid Table 7 Colorful - Accent 1"/>
    <w:basedOn w:val="73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Grid Table 7 Colorful - Accent 2"/>
    <w:basedOn w:val="73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3"/>
    <w:basedOn w:val="73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4"/>
    <w:basedOn w:val="73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5"/>
    <w:basedOn w:val="73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6"/>
    <w:basedOn w:val="73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Список-таблица 1 светлая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basedOn w:val="73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Список-таблица 21"/>
    <w:basedOn w:val="73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73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73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73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73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73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73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 w:customStyle="1">
    <w:name w:val="Список-таблица 31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73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basedOn w:val="73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basedOn w:val="73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basedOn w:val="73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basedOn w:val="73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basedOn w:val="73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basedOn w:val="73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Список-таблица 5 темная1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Список-таблица 6 цветная1"/>
    <w:basedOn w:val="73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basedOn w:val="73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basedOn w:val="73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basedOn w:val="73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basedOn w:val="73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basedOn w:val="73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basedOn w:val="73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 w:customStyle="1">
    <w:name w:val="Список-таблица 7 цветная1"/>
    <w:basedOn w:val="73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st Table 7 Colorful - Accent 1"/>
    <w:basedOn w:val="73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1" w:customStyle="1">
    <w:name w:val="List Table 7 Colorful - Accent 2"/>
    <w:basedOn w:val="73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3"/>
    <w:basedOn w:val="73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4"/>
    <w:basedOn w:val="73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5"/>
    <w:basedOn w:val="73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6"/>
    <w:basedOn w:val="73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basedOn w:val="73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basedOn w:val="73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basedOn w:val="73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basedOn w:val="73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basedOn w:val="73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basedOn w:val="73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basedOn w:val="73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basedOn w:val="73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7">
    <w:name w:val="footnote text"/>
    <w:basedOn w:val="732"/>
    <w:link w:val="938"/>
    <w:uiPriority w:val="99"/>
    <w:semiHidden/>
    <w:unhideWhenUsed/>
    <w:pPr>
      <w:spacing w:after="40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basedOn w:val="733"/>
    <w:uiPriority w:val="99"/>
    <w:unhideWhenUsed/>
    <w:rPr>
      <w:vertAlign w:val="superscript"/>
    </w:rPr>
  </w:style>
  <w:style w:type="paragraph" w:styleId="940">
    <w:name w:val="endnote text"/>
    <w:basedOn w:val="732"/>
    <w:link w:val="941"/>
    <w:uiPriority w:val="99"/>
    <w:semiHidden/>
    <w:unhideWhenUsed/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basedOn w:val="733"/>
    <w:uiPriority w:val="99"/>
    <w:semiHidden/>
    <w:unhideWhenUsed/>
    <w:rPr>
      <w:vertAlign w:val="superscript"/>
    </w:rPr>
  </w:style>
  <w:style w:type="paragraph" w:styleId="943">
    <w:name w:val="toc 1"/>
    <w:basedOn w:val="732"/>
    <w:next w:val="732"/>
    <w:uiPriority w:val="39"/>
    <w:unhideWhenUsed/>
    <w:pPr>
      <w:spacing w:after="57"/>
    </w:pPr>
  </w:style>
  <w:style w:type="paragraph" w:styleId="944">
    <w:name w:val="toc 2"/>
    <w:basedOn w:val="732"/>
    <w:next w:val="732"/>
    <w:uiPriority w:val="39"/>
    <w:unhideWhenUsed/>
    <w:pPr>
      <w:ind w:left="283"/>
      <w:spacing w:after="57"/>
    </w:pPr>
  </w:style>
  <w:style w:type="paragraph" w:styleId="945">
    <w:name w:val="toc 3"/>
    <w:basedOn w:val="732"/>
    <w:next w:val="732"/>
    <w:uiPriority w:val="39"/>
    <w:unhideWhenUsed/>
    <w:pPr>
      <w:ind w:left="567"/>
      <w:spacing w:after="57"/>
    </w:pPr>
  </w:style>
  <w:style w:type="paragraph" w:styleId="946">
    <w:name w:val="toc 4"/>
    <w:basedOn w:val="732"/>
    <w:next w:val="732"/>
    <w:uiPriority w:val="39"/>
    <w:unhideWhenUsed/>
    <w:pPr>
      <w:ind w:left="850"/>
      <w:spacing w:after="57"/>
    </w:pPr>
  </w:style>
  <w:style w:type="paragraph" w:styleId="947">
    <w:name w:val="toc 5"/>
    <w:basedOn w:val="732"/>
    <w:next w:val="732"/>
    <w:uiPriority w:val="39"/>
    <w:unhideWhenUsed/>
    <w:pPr>
      <w:ind w:left="1134"/>
      <w:spacing w:after="57"/>
    </w:pPr>
  </w:style>
  <w:style w:type="paragraph" w:styleId="948">
    <w:name w:val="toc 6"/>
    <w:basedOn w:val="732"/>
    <w:next w:val="732"/>
    <w:uiPriority w:val="39"/>
    <w:unhideWhenUsed/>
    <w:pPr>
      <w:ind w:left="1417"/>
      <w:spacing w:after="57"/>
    </w:pPr>
  </w:style>
  <w:style w:type="paragraph" w:styleId="949">
    <w:name w:val="toc 7"/>
    <w:basedOn w:val="732"/>
    <w:next w:val="732"/>
    <w:uiPriority w:val="39"/>
    <w:unhideWhenUsed/>
    <w:pPr>
      <w:ind w:left="1701"/>
      <w:spacing w:after="57"/>
    </w:pPr>
  </w:style>
  <w:style w:type="paragraph" w:styleId="950">
    <w:name w:val="toc 8"/>
    <w:basedOn w:val="732"/>
    <w:next w:val="732"/>
    <w:uiPriority w:val="39"/>
    <w:unhideWhenUsed/>
    <w:pPr>
      <w:ind w:left="1984"/>
      <w:spacing w:after="57"/>
    </w:pPr>
  </w:style>
  <w:style w:type="paragraph" w:styleId="951">
    <w:name w:val="toc 9"/>
    <w:basedOn w:val="732"/>
    <w:next w:val="732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32"/>
    <w:next w:val="732"/>
    <w:uiPriority w:val="99"/>
    <w:unhideWhenUsed/>
  </w:style>
  <w:style w:type="paragraph" w:styleId="954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955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956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957">
    <w:name w:val="Balloon Text"/>
    <w:basedOn w:val="732"/>
    <w:link w:val="9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8" w:customStyle="1">
    <w:name w:val="Текст выноски Знак"/>
    <w:basedOn w:val="733"/>
    <w:link w:val="957"/>
    <w:uiPriority w:val="99"/>
    <w:semiHidden/>
    <w:rPr>
      <w:rFonts w:ascii="Segoe UI" w:hAnsi="Segoe UI" w:cs="Segoe UI"/>
      <w:sz w:val="18"/>
      <w:szCs w:val="18"/>
    </w:rPr>
  </w:style>
  <w:style w:type="character" w:styleId="959">
    <w:name w:val="Hyperlink"/>
    <w:basedOn w:val="733"/>
    <w:uiPriority w:val="99"/>
    <w:unhideWhenUsed/>
    <w:rPr>
      <w:color w:val="0563c1"/>
      <w:u w:val="single"/>
    </w:rPr>
  </w:style>
  <w:style w:type="paragraph" w:styleId="960" w:customStyle="1">
    <w:name w:val="Верхний колонтитул1"/>
    <w:basedOn w:val="732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33"/>
    <w:link w:val="960"/>
    <w:uiPriority w:val="99"/>
    <w:rPr>
      <w:rFonts w:ascii="Times New Roman" w:hAnsi="Times New Roman" w:eastAsia="Times New Roman"/>
      <w:sz w:val="28"/>
      <w:szCs w:val="28"/>
      <w:lang w:eastAsia="en-US"/>
    </w:rPr>
  </w:style>
  <w:style w:type="paragraph" w:styleId="962" w:customStyle="1">
    <w:name w:val="Нижний колонтитул1"/>
    <w:basedOn w:val="732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33"/>
    <w:link w:val="962"/>
    <w:uiPriority w:val="99"/>
    <w:rPr>
      <w:rFonts w:ascii="Times New Roman" w:hAnsi="Times New Roman" w:eastAsia="Times New Roman"/>
      <w:sz w:val="28"/>
      <w:szCs w:val="28"/>
      <w:lang w:eastAsia="en-US"/>
    </w:rPr>
  </w:style>
  <w:style w:type="character" w:styleId="964" w:customStyle="1">
    <w:name w:val="Заголовок 3 Знак"/>
    <w:basedOn w:val="733"/>
    <w:link w:val="781"/>
    <w:uiPriority w:val="99"/>
    <w:rPr>
      <w:rFonts w:ascii="Times New Roman" w:hAnsi="Times New Roman" w:eastAsia="Times New Roman"/>
      <w:b/>
      <w:bCs/>
      <w:sz w:val="27"/>
      <w:szCs w:val="27"/>
    </w:rPr>
  </w:style>
  <w:style w:type="character" w:styleId="965">
    <w:name w:val="Emphasis"/>
    <w:basedOn w:val="733"/>
    <w:uiPriority w:val="20"/>
    <w:qFormat/>
    <w:rPr>
      <w:i/>
      <w:iCs/>
    </w:rPr>
  </w:style>
  <w:style w:type="paragraph" w:styleId="966" w:customStyle="1">
    <w:name w:val="Header"/>
    <w:basedOn w:val="732"/>
    <w:link w:val="96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1"/>
    <w:basedOn w:val="733"/>
    <w:link w:val="966"/>
    <w:uiPriority w:val="99"/>
    <w:semiHidden/>
    <w:rPr>
      <w:rFonts w:ascii="Times New Roman" w:hAnsi="Times New Roman" w:eastAsia="Times New Roman"/>
      <w:sz w:val="28"/>
      <w:szCs w:val="28"/>
      <w:lang w:eastAsia="en-US"/>
    </w:rPr>
  </w:style>
  <w:style w:type="paragraph" w:styleId="968" w:customStyle="1">
    <w:name w:val="Footer"/>
    <w:basedOn w:val="732"/>
    <w:link w:val="96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1"/>
    <w:basedOn w:val="733"/>
    <w:link w:val="968"/>
    <w:uiPriority w:val="99"/>
    <w:semiHidden/>
    <w:rPr>
      <w:rFonts w:ascii="Times New Roman" w:hAnsi="Times New Roman" w:eastAsia="Times New Roman"/>
      <w:sz w:val="28"/>
      <w:szCs w:val="28"/>
      <w:lang w:eastAsia="en-US"/>
    </w:rPr>
  </w:style>
  <w:style w:type="paragraph" w:styleId="970" w:customStyle="1">
    <w:name w:val="Header"/>
    <w:basedOn w:val="732"/>
    <w:link w:val="97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2"/>
    <w:basedOn w:val="733"/>
    <w:link w:val="970"/>
    <w:uiPriority w:val="99"/>
    <w:semiHidden/>
    <w:rPr>
      <w:rFonts w:ascii="Times New Roman" w:hAnsi="Times New Roman" w:eastAsia="Times New Roman"/>
      <w:sz w:val="28"/>
      <w:szCs w:val="28"/>
      <w:lang w:eastAsia="en-US"/>
    </w:rPr>
  </w:style>
  <w:style w:type="paragraph" w:styleId="972" w:customStyle="1">
    <w:name w:val="Footer"/>
    <w:basedOn w:val="732"/>
    <w:link w:val="97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2"/>
    <w:basedOn w:val="733"/>
    <w:link w:val="972"/>
    <w:uiPriority w:val="99"/>
    <w:semiHidden/>
    <w:rPr>
      <w:rFonts w:ascii="Times New Roman" w:hAnsi="Times New Roman" w:eastAsia="Times New Roman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8EDE-E5AF-4283-A127-8F9D81D0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revision>18</cp:revision>
  <dcterms:created xsi:type="dcterms:W3CDTF">2023-11-23T07:39:00Z</dcterms:created>
  <dcterms:modified xsi:type="dcterms:W3CDTF">2024-09-25T02:32:33Z</dcterms:modified>
</cp:coreProperties>
</file>